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1AC2" w14:textId="53CEFC0B" w:rsidR="00D03C12" w:rsidRDefault="00B66377" w:rsidP="00D03C12">
      <w:pPr>
        <w:pStyle w:val="NurText"/>
        <w:jc w:val="center"/>
        <w:rPr>
          <w:sz w:val="32"/>
        </w:rPr>
      </w:pPr>
      <w:r>
        <w:rPr>
          <w:sz w:val="32"/>
        </w:rPr>
        <w:t>Oberseminar Osteuropäische Geschichte</w:t>
      </w:r>
      <w:r w:rsidR="009C6E5F">
        <w:rPr>
          <w:sz w:val="32"/>
        </w:rPr>
        <w:t xml:space="preserve"> </w:t>
      </w:r>
      <w:r w:rsidR="002C1166">
        <w:rPr>
          <w:sz w:val="32"/>
        </w:rPr>
        <w:t xml:space="preserve">im </w:t>
      </w:r>
      <w:r w:rsidR="009C6E5F">
        <w:rPr>
          <w:sz w:val="32"/>
        </w:rPr>
        <w:t>WS 2020/21</w:t>
      </w:r>
    </w:p>
    <w:p w14:paraId="248C2E3A" w14:textId="5791E1F8" w:rsidR="002C1166" w:rsidRDefault="00207407" w:rsidP="00D03C12">
      <w:pPr>
        <w:pStyle w:val="Nur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Immer </w:t>
      </w:r>
      <w:r w:rsidRPr="002C1166">
        <w:rPr>
          <w:sz w:val="24"/>
          <w:szCs w:val="24"/>
        </w:rPr>
        <w:t>dienstags 18.15-19.45</w:t>
      </w:r>
      <w:r>
        <w:rPr>
          <w:sz w:val="24"/>
          <w:szCs w:val="24"/>
        </w:rPr>
        <w:br/>
      </w:r>
      <w:r w:rsidRPr="00207407">
        <w:rPr>
          <w:sz w:val="24"/>
          <w:szCs w:val="24"/>
        </w:rPr>
        <w:t>Das Oberseminar findet</w:t>
      </w:r>
      <w:r w:rsidRPr="00207407">
        <w:rPr>
          <w:rStyle w:val="Hervorhebung"/>
          <w:sz w:val="24"/>
          <w:szCs w:val="24"/>
        </w:rPr>
        <w:t> </w:t>
      </w:r>
      <w:r w:rsidRPr="00207407">
        <w:rPr>
          <w:sz w:val="24"/>
          <w:szCs w:val="24"/>
        </w:rPr>
        <w:t xml:space="preserve">ausschließlich via Zoom statt! </w:t>
      </w:r>
      <w:r w:rsidRPr="00207407">
        <w:rPr>
          <w:sz w:val="24"/>
          <w:szCs w:val="24"/>
        </w:rPr>
        <w:br/>
        <w:t xml:space="preserve">Bei Interesse kontaktieren Sie bitte </w:t>
      </w:r>
      <w:r w:rsidRPr="00207407">
        <w:rPr>
          <w:rStyle w:val="Fett"/>
          <w:sz w:val="24"/>
          <w:szCs w:val="24"/>
        </w:rPr>
        <w:t>Gleb.Kazakov@geschichte.uni-giessen.de</w:t>
      </w:r>
      <w:r w:rsidRPr="00207407">
        <w:rPr>
          <w:sz w:val="24"/>
          <w:szCs w:val="24"/>
        </w:rPr>
        <w:t xml:space="preserve"> für einen Link zur Veranstaltung</w:t>
      </w:r>
    </w:p>
    <w:p w14:paraId="5567B3B3" w14:textId="7AEFAA78" w:rsidR="002C1166" w:rsidRPr="002C1166" w:rsidRDefault="002C1166" w:rsidP="00D03C12">
      <w:pPr>
        <w:pStyle w:val="NurText"/>
        <w:jc w:val="center"/>
        <w:rPr>
          <w:sz w:val="24"/>
          <w:szCs w:val="24"/>
        </w:rPr>
      </w:pPr>
    </w:p>
    <w:p w14:paraId="3CA3F5AF" w14:textId="77777777" w:rsidR="00D03C12" w:rsidRDefault="00D03C12" w:rsidP="00D03C12">
      <w:pPr>
        <w:pStyle w:val="Nur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D03C12" w14:paraId="2BD7AD94" w14:textId="77777777" w:rsidTr="000E360D">
        <w:tc>
          <w:tcPr>
            <w:tcW w:w="988" w:type="dxa"/>
          </w:tcPr>
          <w:p w14:paraId="79150713" w14:textId="77777777" w:rsidR="00D03C12" w:rsidRDefault="00D03C12" w:rsidP="00D03C12">
            <w:pPr>
              <w:pStyle w:val="NurText"/>
              <w:jc w:val="center"/>
            </w:pPr>
            <w:r>
              <w:t>Datum</w:t>
            </w:r>
          </w:p>
        </w:tc>
        <w:tc>
          <w:tcPr>
            <w:tcW w:w="2835" w:type="dxa"/>
          </w:tcPr>
          <w:p w14:paraId="36BD4F33" w14:textId="77777777" w:rsidR="00D03C12" w:rsidRDefault="00D03C12" w:rsidP="00D03C12">
            <w:pPr>
              <w:pStyle w:val="NurText"/>
              <w:jc w:val="center"/>
            </w:pPr>
            <w:r>
              <w:t>Referent</w:t>
            </w:r>
          </w:p>
        </w:tc>
        <w:tc>
          <w:tcPr>
            <w:tcW w:w="5239" w:type="dxa"/>
          </w:tcPr>
          <w:p w14:paraId="17943591" w14:textId="77777777" w:rsidR="00D03C12" w:rsidRDefault="00D03C12" w:rsidP="00D03C12">
            <w:pPr>
              <w:pStyle w:val="NurText"/>
              <w:jc w:val="center"/>
            </w:pPr>
            <w:r>
              <w:t>Thema</w:t>
            </w:r>
          </w:p>
        </w:tc>
      </w:tr>
      <w:tr w:rsidR="000F7B34" w14:paraId="7C8312E7" w14:textId="77777777" w:rsidTr="000E360D">
        <w:tc>
          <w:tcPr>
            <w:tcW w:w="988" w:type="dxa"/>
          </w:tcPr>
          <w:p w14:paraId="7AC20B14" w14:textId="77777777" w:rsidR="000F7B34" w:rsidRDefault="000F7B34" w:rsidP="00D03C12">
            <w:pPr>
              <w:pStyle w:val="NurText"/>
              <w:jc w:val="center"/>
            </w:pPr>
            <w:r>
              <w:t>03.11</w:t>
            </w:r>
          </w:p>
          <w:p w14:paraId="0C6A5BC3" w14:textId="260E4859" w:rsidR="00DB47C7" w:rsidRDefault="00DB47C7" w:rsidP="00D03C12">
            <w:pPr>
              <w:pStyle w:val="NurText"/>
              <w:jc w:val="center"/>
            </w:pPr>
            <w:r w:rsidRPr="00DB47C7">
              <w:rPr>
                <w:color w:val="0070C0"/>
              </w:rPr>
              <w:t>Zoom</w:t>
            </w:r>
          </w:p>
        </w:tc>
        <w:tc>
          <w:tcPr>
            <w:tcW w:w="2835" w:type="dxa"/>
          </w:tcPr>
          <w:p w14:paraId="2C229B19" w14:textId="77777777" w:rsidR="000F7B34" w:rsidRDefault="00906C75" w:rsidP="00382EBB">
            <w:pPr>
              <w:pStyle w:val="NurText"/>
            </w:pPr>
            <w:proofErr w:type="spellStart"/>
            <w:r w:rsidRPr="00906C75">
              <w:rPr>
                <w:b/>
              </w:rPr>
              <w:t>Aliaksandr</w:t>
            </w:r>
            <w:proofErr w:type="spellEnd"/>
            <w:r w:rsidRPr="00906C75">
              <w:rPr>
                <w:b/>
              </w:rPr>
              <w:t xml:space="preserve"> </w:t>
            </w:r>
            <w:proofErr w:type="spellStart"/>
            <w:r w:rsidRPr="00906C75">
              <w:rPr>
                <w:b/>
              </w:rPr>
              <w:t>Dalhouski</w:t>
            </w:r>
            <w:proofErr w:type="spellEnd"/>
            <w:r>
              <w:rPr>
                <w:b/>
              </w:rPr>
              <w:t xml:space="preserve"> </w:t>
            </w:r>
            <w:r w:rsidRPr="00906C75">
              <w:t>(Minsk)</w:t>
            </w:r>
          </w:p>
          <w:p w14:paraId="674EF16C" w14:textId="56D61ABF" w:rsidR="000E360D" w:rsidRPr="000E360D" w:rsidRDefault="000E360D" w:rsidP="00382EBB">
            <w:pPr>
              <w:pStyle w:val="NurText"/>
              <w:rPr>
                <w:b/>
                <w:i/>
              </w:rPr>
            </w:pPr>
            <w:r w:rsidRPr="000E360D">
              <w:rPr>
                <w:i/>
              </w:rPr>
              <w:t>DGO-Veranstaltung</w:t>
            </w:r>
          </w:p>
        </w:tc>
        <w:tc>
          <w:tcPr>
            <w:tcW w:w="5239" w:type="dxa"/>
          </w:tcPr>
          <w:p w14:paraId="7DED326D" w14:textId="77777777" w:rsidR="000F7B34" w:rsidRDefault="00906C75" w:rsidP="00382EBB">
            <w:pPr>
              <w:pStyle w:val="NurText"/>
            </w:pPr>
            <w:r>
              <w:t>Geschichtswerkstatt und Tagespolitik. Entwicklungen in der Republik Belarus</w:t>
            </w:r>
          </w:p>
          <w:p w14:paraId="5A90B52B" w14:textId="7E7231CB" w:rsidR="00906C75" w:rsidRDefault="00906C75" w:rsidP="00382EBB">
            <w:pPr>
              <w:pStyle w:val="NurText"/>
            </w:pPr>
          </w:p>
        </w:tc>
      </w:tr>
      <w:tr w:rsidR="000F7B34" w14:paraId="572216C6" w14:textId="77777777" w:rsidTr="000E360D">
        <w:tc>
          <w:tcPr>
            <w:tcW w:w="988" w:type="dxa"/>
          </w:tcPr>
          <w:p w14:paraId="082AB62D" w14:textId="77777777" w:rsidR="00B57FF7" w:rsidRDefault="000F7B34" w:rsidP="00B57FF7">
            <w:pPr>
              <w:pStyle w:val="NurText"/>
              <w:jc w:val="center"/>
              <w:rPr>
                <w:color w:val="FF0000"/>
              </w:rPr>
            </w:pPr>
            <w:r>
              <w:t>10.11</w:t>
            </w:r>
            <w:r w:rsidR="000F4506" w:rsidRPr="00B57FF7">
              <w:rPr>
                <w:color w:val="FF0000"/>
              </w:rPr>
              <w:t xml:space="preserve"> Präsenz</w:t>
            </w:r>
          </w:p>
          <w:p w14:paraId="3014FB39" w14:textId="00E91080" w:rsidR="00B66377" w:rsidRDefault="00B66377" w:rsidP="00B57FF7">
            <w:pPr>
              <w:pStyle w:val="NurText"/>
              <w:jc w:val="center"/>
            </w:pPr>
          </w:p>
        </w:tc>
        <w:tc>
          <w:tcPr>
            <w:tcW w:w="2835" w:type="dxa"/>
          </w:tcPr>
          <w:p w14:paraId="51B35824" w14:textId="77777777" w:rsidR="0011393D" w:rsidRDefault="002048A6" w:rsidP="00382EBB">
            <w:pPr>
              <w:pStyle w:val="NurText"/>
              <w:rPr>
                <w:b/>
              </w:rPr>
            </w:pPr>
            <w:r w:rsidRPr="002048A6">
              <w:rPr>
                <w:b/>
              </w:rPr>
              <w:t>Laura</w:t>
            </w:r>
            <w:r w:rsidR="00F462B9">
              <w:t xml:space="preserve"> </w:t>
            </w:r>
            <w:r w:rsidR="000F4506" w:rsidRPr="00F462B9">
              <w:rPr>
                <w:b/>
              </w:rPr>
              <w:t>Lobo</w:t>
            </w:r>
            <w:r w:rsidR="0011393D">
              <w:rPr>
                <w:b/>
              </w:rPr>
              <w:t xml:space="preserve"> </w:t>
            </w:r>
            <w:r w:rsidRPr="002048A6">
              <w:t>&amp;</w:t>
            </w:r>
            <w:r>
              <w:rPr>
                <w:b/>
              </w:rPr>
              <w:t xml:space="preserve"> Timo Mohr</w:t>
            </w:r>
          </w:p>
          <w:p w14:paraId="2FF68948" w14:textId="68494A2C" w:rsidR="000E360D" w:rsidRPr="0011393D" w:rsidRDefault="000E360D" w:rsidP="00382EBB">
            <w:pPr>
              <w:pStyle w:val="NurText"/>
              <w:rPr>
                <w:b/>
              </w:rPr>
            </w:pPr>
            <w:r w:rsidRPr="000E360D">
              <w:rPr>
                <w:i/>
              </w:rPr>
              <w:t>Präsentation der studentischen Abschlussarbeiten</w:t>
            </w:r>
          </w:p>
        </w:tc>
        <w:tc>
          <w:tcPr>
            <w:tcW w:w="5239" w:type="dxa"/>
          </w:tcPr>
          <w:p w14:paraId="79D14AAC" w14:textId="0248DBB6" w:rsidR="000E360D" w:rsidRDefault="000E360D" w:rsidP="000E360D">
            <w:pPr>
              <w:pStyle w:val="NurText"/>
            </w:pPr>
            <w:r>
              <w:t xml:space="preserve">Die </w:t>
            </w:r>
            <w:proofErr w:type="spellStart"/>
            <w:r>
              <w:t>Lodzer</w:t>
            </w:r>
            <w:proofErr w:type="spellEnd"/>
            <w:r>
              <w:t xml:space="preserve"> Zeitung / </w:t>
            </w:r>
            <w:proofErr w:type="spellStart"/>
            <w:r>
              <w:t>Litzmannstädter</w:t>
            </w:r>
            <w:proofErr w:type="spellEnd"/>
            <w:r>
              <w:t xml:space="preserve"> Zeitung 1939-1945 - Eine deutsche Tageszeitung im besetzten Polen als Quelle für den Alltag; </w:t>
            </w:r>
            <w:r>
              <w:br/>
            </w:r>
            <w:r w:rsidR="00E86AB9">
              <w:t>Die Olympischen Sommerspiele 1964 und 2020/21. Ein Internationales Großereignis im Wandel der japanischen Politik</w:t>
            </w:r>
          </w:p>
          <w:p w14:paraId="1FFD6540" w14:textId="2D14D5DF" w:rsidR="000F7B34" w:rsidRDefault="002048A6" w:rsidP="00382EBB">
            <w:pPr>
              <w:pStyle w:val="NurText"/>
            </w:pPr>
            <w:r>
              <w:t xml:space="preserve"> </w:t>
            </w:r>
          </w:p>
        </w:tc>
      </w:tr>
      <w:tr w:rsidR="000F7B34" w:rsidRPr="00207407" w14:paraId="5E21BB42" w14:textId="77777777" w:rsidTr="000E360D">
        <w:tc>
          <w:tcPr>
            <w:tcW w:w="988" w:type="dxa"/>
          </w:tcPr>
          <w:p w14:paraId="4AB336A0" w14:textId="77777777" w:rsidR="000F7B34" w:rsidRDefault="000F7B34" w:rsidP="00D03C12">
            <w:pPr>
              <w:pStyle w:val="NurText"/>
              <w:jc w:val="center"/>
            </w:pPr>
            <w:r>
              <w:t>17.11</w:t>
            </w:r>
          </w:p>
          <w:p w14:paraId="020F6776" w14:textId="36C64CD0" w:rsidR="00B57FF7" w:rsidRDefault="00787139" w:rsidP="00D03C12">
            <w:pPr>
              <w:pStyle w:val="NurText"/>
              <w:jc w:val="center"/>
            </w:pPr>
            <w:r w:rsidRPr="00787139">
              <w:rPr>
                <w:color w:val="0070C0"/>
              </w:rPr>
              <w:t>Zoom</w:t>
            </w:r>
          </w:p>
        </w:tc>
        <w:tc>
          <w:tcPr>
            <w:tcW w:w="2835" w:type="dxa"/>
          </w:tcPr>
          <w:p w14:paraId="4D6A3DC6" w14:textId="77777777" w:rsidR="000E360D" w:rsidRDefault="000E360D" w:rsidP="00787139">
            <w:pPr>
              <w:pStyle w:val="NurText"/>
            </w:pPr>
            <w:r w:rsidRPr="000E360D">
              <w:rPr>
                <w:b/>
              </w:rPr>
              <w:t>Felipe Kaiser Fernandes</w:t>
            </w:r>
            <w:r>
              <w:t xml:space="preserve"> (Paris/Prag)</w:t>
            </w:r>
          </w:p>
          <w:p w14:paraId="3C1D4C44" w14:textId="28973F75" w:rsidR="00787139" w:rsidRDefault="00787139" w:rsidP="00787139">
            <w:pPr>
              <w:pStyle w:val="NurText"/>
              <w:rPr>
                <w:i/>
              </w:rPr>
            </w:pPr>
            <w:r w:rsidRPr="00F462B9">
              <w:rPr>
                <w:i/>
              </w:rPr>
              <w:t>Gemeinsam mit</w:t>
            </w:r>
            <w:r>
              <w:rPr>
                <w:i/>
              </w:rPr>
              <w:t xml:space="preserve"> dem</w:t>
            </w:r>
            <w:r w:rsidRPr="00F462B9">
              <w:rPr>
                <w:i/>
              </w:rPr>
              <w:t xml:space="preserve"> Lehrst</w:t>
            </w:r>
            <w:r>
              <w:rPr>
                <w:i/>
              </w:rPr>
              <w:t>uhl</w:t>
            </w:r>
            <w:r w:rsidRPr="00F462B9">
              <w:rPr>
                <w:i/>
              </w:rPr>
              <w:t xml:space="preserve"> </w:t>
            </w:r>
            <w:r>
              <w:rPr>
                <w:i/>
              </w:rPr>
              <w:t>für Neuere Geschichte</w:t>
            </w:r>
          </w:p>
          <w:p w14:paraId="2400BD63" w14:textId="49CF149B" w:rsidR="00F462B9" w:rsidRDefault="00F462B9" w:rsidP="00382EBB">
            <w:pPr>
              <w:pStyle w:val="NurText"/>
            </w:pPr>
          </w:p>
        </w:tc>
        <w:tc>
          <w:tcPr>
            <w:tcW w:w="5239" w:type="dxa"/>
          </w:tcPr>
          <w:p w14:paraId="4B6E3630" w14:textId="25DECC65" w:rsidR="009C5BB2" w:rsidRPr="000E360D" w:rsidRDefault="000E360D" w:rsidP="00382EBB">
            <w:pPr>
              <w:pStyle w:val="NurText"/>
              <w:rPr>
                <w:lang w:val="en-US"/>
              </w:rPr>
            </w:pPr>
            <w:r w:rsidRPr="000E360D">
              <w:rPr>
                <w:lang w:val="en-US"/>
              </w:rPr>
              <w:t>Rise of a Merchant Nation: An Ethnography of Vietnamese Bazaar Economy in Central Europe</w:t>
            </w:r>
          </w:p>
        </w:tc>
      </w:tr>
      <w:tr w:rsidR="000F7B34" w14:paraId="72B2FFC1" w14:textId="77777777" w:rsidTr="000E360D">
        <w:tc>
          <w:tcPr>
            <w:tcW w:w="988" w:type="dxa"/>
          </w:tcPr>
          <w:p w14:paraId="60D073EA" w14:textId="7A5B6A67" w:rsidR="000F7B34" w:rsidRDefault="000F7B34" w:rsidP="00D03C12">
            <w:pPr>
              <w:pStyle w:val="NurText"/>
              <w:jc w:val="center"/>
            </w:pPr>
            <w:r>
              <w:t>24.11</w:t>
            </w:r>
          </w:p>
          <w:p w14:paraId="200DD9B8" w14:textId="77777777" w:rsidR="00B9720B" w:rsidRDefault="00B9720B" w:rsidP="00D03C12">
            <w:pPr>
              <w:pStyle w:val="NurText"/>
              <w:jc w:val="center"/>
            </w:pPr>
          </w:p>
          <w:p w14:paraId="61B954A9" w14:textId="4306E3BC" w:rsidR="00B9720B" w:rsidRDefault="00B9720B" w:rsidP="00D03C12">
            <w:pPr>
              <w:pStyle w:val="NurText"/>
              <w:jc w:val="center"/>
            </w:pPr>
            <w:r w:rsidRPr="00B9720B">
              <w:rPr>
                <w:color w:val="0070C0"/>
              </w:rPr>
              <w:t>Zoom</w:t>
            </w:r>
          </w:p>
        </w:tc>
        <w:tc>
          <w:tcPr>
            <w:tcW w:w="2835" w:type="dxa"/>
          </w:tcPr>
          <w:p w14:paraId="1F5D6879" w14:textId="1144B077" w:rsidR="00F462B9" w:rsidRDefault="00F462B9" w:rsidP="00382EBB">
            <w:pPr>
              <w:pStyle w:val="NurText"/>
            </w:pPr>
            <w:r w:rsidRPr="00F462B9">
              <w:rPr>
                <w:b/>
              </w:rPr>
              <w:t xml:space="preserve">Anke </w:t>
            </w:r>
            <w:proofErr w:type="spellStart"/>
            <w:r w:rsidRPr="00F462B9">
              <w:rPr>
                <w:b/>
              </w:rPr>
              <w:t>Hilbrenner</w:t>
            </w:r>
            <w:proofErr w:type="spellEnd"/>
            <w:r>
              <w:t xml:space="preserve">, </w:t>
            </w:r>
            <w:r w:rsidRPr="00F462B9">
              <w:rPr>
                <w:b/>
              </w:rPr>
              <w:t xml:space="preserve">Dietmar </w:t>
            </w:r>
            <w:proofErr w:type="spellStart"/>
            <w:r w:rsidRPr="00F462B9">
              <w:rPr>
                <w:b/>
              </w:rPr>
              <w:t>Neutatz</w:t>
            </w:r>
            <w:proofErr w:type="spellEnd"/>
            <w:r>
              <w:t xml:space="preserve"> und </w:t>
            </w:r>
            <w:r w:rsidRPr="00F462B9">
              <w:rPr>
                <w:b/>
              </w:rPr>
              <w:t>Thomas Bohn</w:t>
            </w:r>
          </w:p>
          <w:p w14:paraId="10989D16" w14:textId="2ACFA4CA" w:rsidR="000F7B34" w:rsidRDefault="00F462B9" w:rsidP="00382EBB">
            <w:pPr>
              <w:pStyle w:val="NurText"/>
              <w:rPr>
                <w:i/>
              </w:rPr>
            </w:pPr>
            <w:r w:rsidRPr="00F462B9">
              <w:rPr>
                <w:i/>
              </w:rPr>
              <w:t>Gemeinsam mit Lehrstühlen</w:t>
            </w:r>
            <w:r w:rsidR="000E360D">
              <w:rPr>
                <w:i/>
              </w:rPr>
              <w:t xml:space="preserve"> für Osteuropäische Geschichte in</w:t>
            </w:r>
            <w:r w:rsidRPr="00F462B9">
              <w:rPr>
                <w:i/>
              </w:rPr>
              <w:t xml:space="preserve"> Freiburg und Göttingen </w:t>
            </w:r>
          </w:p>
          <w:p w14:paraId="453FD743" w14:textId="3D3210B6" w:rsidR="000E360D" w:rsidRDefault="000E360D" w:rsidP="00382EBB">
            <w:pPr>
              <w:pStyle w:val="NurText"/>
              <w:rPr>
                <w:i/>
              </w:rPr>
            </w:pPr>
            <w:r w:rsidRPr="000E360D">
              <w:rPr>
                <w:i/>
              </w:rPr>
              <w:t>DGO-Veranstaltung</w:t>
            </w:r>
          </w:p>
          <w:p w14:paraId="1DF1C3E5" w14:textId="13326D52" w:rsidR="00F462B9" w:rsidRPr="00F462B9" w:rsidRDefault="00F462B9" w:rsidP="00382EBB">
            <w:pPr>
              <w:pStyle w:val="NurText"/>
              <w:rPr>
                <w:i/>
              </w:rPr>
            </w:pPr>
          </w:p>
        </w:tc>
        <w:tc>
          <w:tcPr>
            <w:tcW w:w="5239" w:type="dxa"/>
          </w:tcPr>
          <w:p w14:paraId="5EF4DC44" w14:textId="38FB9FE2" w:rsidR="000F7B34" w:rsidRDefault="00B66377" w:rsidP="00F462B9">
            <w:pPr>
              <w:pStyle w:val="NurText"/>
            </w:pPr>
            <w:r>
              <w:t>Online-</w:t>
            </w:r>
            <w:r w:rsidR="00F462B9">
              <w:t xml:space="preserve">Podiumsdiskussion: </w:t>
            </w:r>
            <w:r w:rsidR="00787139" w:rsidRPr="00787139">
              <w:t>Putin als Historiker. Die Erinnerung an den Zweiten Weltkrieg im neuen Russland</w:t>
            </w:r>
          </w:p>
        </w:tc>
      </w:tr>
      <w:tr w:rsidR="000F7B34" w14:paraId="74F6C9E8" w14:textId="77777777" w:rsidTr="000E360D">
        <w:tc>
          <w:tcPr>
            <w:tcW w:w="988" w:type="dxa"/>
          </w:tcPr>
          <w:p w14:paraId="6F2D7742" w14:textId="77777777" w:rsidR="000F7B34" w:rsidRDefault="000F7B34" w:rsidP="00D03C12">
            <w:pPr>
              <w:pStyle w:val="NurText"/>
              <w:jc w:val="center"/>
            </w:pPr>
            <w:r>
              <w:t>01.12</w:t>
            </w:r>
          </w:p>
          <w:p w14:paraId="478404A5" w14:textId="1A239F39" w:rsidR="00B57FF7" w:rsidRDefault="00787139" w:rsidP="00D03C12">
            <w:pPr>
              <w:pStyle w:val="NurText"/>
              <w:jc w:val="center"/>
            </w:pPr>
            <w:r>
              <w:t xml:space="preserve">Evtl. </w:t>
            </w:r>
            <w:r w:rsidRPr="00787139">
              <w:rPr>
                <w:color w:val="FF0000"/>
              </w:rPr>
              <w:t>Präsenz</w:t>
            </w:r>
          </w:p>
        </w:tc>
        <w:tc>
          <w:tcPr>
            <w:tcW w:w="2835" w:type="dxa"/>
          </w:tcPr>
          <w:p w14:paraId="2EB30C94" w14:textId="13AB8266" w:rsidR="000F7B34" w:rsidRPr="00B66377" w:rsidRDefault="00B66377" w:rsidP="00382EBB">
            <w:pPr>
              <w:pStyle w:val="NurText"/>
              <w:rPr>
                <w:b/>
                <w:bCs/>
              </w:rPr>
            </w:pPr>
            <w:r w:rsidRPr="00B66377">
              <w:rPr>
                <w:b/>
                <w:bCs/>
              </w:rPr>
              <w:t>Felix Ackermann</w:t>
            </w:r>
            <w:r w:rsidR="00E23C02">
              <w:rPr>
                <w:b/>
                <w:bCs/>
              </w:rPr>
              <w:t xml:space="preserve"> </w:t>
            </w:r>
            <w:r w:rsidR="00E23C02" w:rsidRPr="00E23C02">
              <w:t>(Warschau)</w:t>
            </w:r>
          </w:p>
        </w:tc>
        <w:tc>
          <w:tcPr>
            <w:tcW w:w="5239" w:type="dxa"/>
          </w:tcPr>
          <w:p w14:paraId="08C46C6A" w14:textId="77777777" w:rsidR="000F7B34" w:rsidRDefault="00B66377" w:rsidP="00B66377">
            <w:pPr>
              <w:pStyle w:val="NurText"/>
            </w:pPr>
            <w:r>
              <w:t xml:space="preserve">Preußen als innereuropäische Kolonialmacht: Die Strafanstalt zu </w:t>
            </w:r>
            <w:proofErr w:type="spellStart"/>
            <w:r>
              <w:t>Rawitsch</w:t>
            </w:r>
            <w:proofErr w:type="spellEnd"/>
            <w:r>
              <w:t xml:space="preserve"> als Mikrokosmus der Teilungen Polens    </w:t>
            </w:r>
          </w:p>
          <w:p w14:paraId="25F64D0E" w14:textId="783AF48B" w:rsidR="00B66377" w:rsidRDefault="00B66377" w:rsidP="00B66377">
            <w:pPr>
              <w:pStyle w:val="NurText"/>
            </w:pPr>
          </w:p>
        </w:tc>
      </w:tr>
      <w:tr w:rsidR="000F7B34" w14:paraId="32B5524D" w14:textId="77777777" w:rsidTr="000E360D">
        <w:tc>
          <w:tcPr>
            <w:tcW w:w="988" w:type="dxa"/>
          </w:tcPr>
          <w:p w14:paraId="581F06CC" w14:textId="77777777" w:rsidR="000F7B34" w:rsidRDefault="000F7B34" w:rsidP="00D03C12">
            <w:pPr>
              <w:pStyle w:val="NurText"/>
              <w:jc w:val="center"/>
            </w:pPr>
            <w:r>
              <w:t>08.12</w:t>
            </w:r>
          </w:p>
          <w:p w14:paraId="2CA78238" w14:textId="77777777" w:rsidR="00906C75" w:rsidRDefault="00906C75" w:rsidP="00D03C12">
            <w:pPr>
              <w:pStyle w:val="NurText"/>
              <w:jc w:val="center"/>
              <w:rPr>
                <w:color w:val="0070C0"/>
              </w:rPr>
            </w:pPr>
            <w:r w:rsidRPr="00DB47C7">
              <w:rPr>
                <w:color w:val="0070C0"/>
              </w:rPr>
              <w:t>Zoom</w:t>
            </w:r>
          </w:p>
          <w:p w14:paraId="56CCCB6C" w14:textId="727FD1FB" w:rsidR="00B66377" w:rsidRDefault="00B66377" w:rsidP="00D03C12">
            <w:pPr>
              <w:pStyle w:val="NurText"/>
              <w:jc w:val="center"/>
            </w:pPr>
          </w:p>
        </w:tc>
        <w:tc>
          <w:tcPr>
            <w:tcW w:w="2835" w:type="dxa"/>
          </w:tcPr>
          <w:p w14:paraId="2281EFD0" w14:textId="77777777" w:rsidR="000F7B34" w:rsidRDefault="00906C75" w:rsidP="00382EBB">
            <w:pPr>
              <w:pStyle w:val="NurText"/>
              <w:rPr>
                <w:bCs/>
              </w:rPr>
            </w:pPr>
            <w:r w:rsidRPr="00906C75">
              <w:rPr>
                <w:b/>
                <w:bCs/>
              </w:rPr>
              <w:t>Sandra Dahlke</w:t>
            </w:r>
            <w:r w:rsidRPr="00382EBB">
              <w:rPr>
                <w:bCs/>
              </w:rPr>
              <w:t xml:space="preserve"> (DHI Moskau)</w:t>
            </w:r>
          </w:p>
          <w:p w14:paraId="09A4D8DC" w14:textId="249D6175" w:rsidR="00906C75" w:rsidRDefault="000E360D" w:rsidP="00382EBB">
            <w:pPr>
              <w:pStyle w:val="NurText"/>
            </w:pPr>
            <w:r w:rsidRPr="000E360D">
              <w:rPr>
                <w:i/>
              </w:rPr>
              <w:t>DGO-Veranstaltung</w:t>
            </w:r>
          </w:p>
        </w:tc>
        <w:tc>
          <w:tcPr>
            <w:tcW w:w="5239" w:type="dxa"/>
          </w:tcPr>
          <w:p w14:paraId="1420359C" w14:textId="468A21E4" w:rsidR="000F7B34" w:rsidRDefault="00B66377" w:rsidP="00382EBB">
            <w:pPr>
              <w:pStyle w:val="NurText"/>
            </w:pPr>
            <w:r>
              <w:t>Das Deutsche Historische Institut in Moskau. Geschichte und Politik</w:t>
            </w:r>
          </w:p>
        </w:tc>
      </w:tr>
      <w:tr w:rsidR="000F7B34" w14:paraId="0181031B" w14:textId="77777777" w:rsidTr="000E360D">
        <w:tc>
          <w:tcPr>
            <w:tcW w:w="988" w:type="dxa"/>
          </w:tcPr>
          <w:p w14:paraId="2284A463" w14:textId="77777777" w:rsidR="000F7B34" w:rsidRDefault="000F7B34" w:rsidP="00D03C12">
            <w:pPr>
              <w:pStyle w:val="NurText"/>
              <w:jc w:val="center"/>
            </w:pPr>
            <w:r>
              <w:t>15.12</w:t>
            </w:r>
          </w:p>
          <w:p w14:paraId="5172F543" w14:textId="77777777" w:rsidR="00B57FF7" w:rsidRDefault="00B57FF7" w:rsidP="00D03C12">
            <w:pPr>
              <w:pStyle w:val="NurText"/>
              <w:jc w:val="center"/>
              <w:rPr>
                <w:color w:val="FF0000"/>
              </w:rPr>
            </w:pPr>
            <w:r w:rsidRPr="00B57FF7">
              <w:rPr>
                <w:color w:val="FF0000"/>
              </w:rPr>
              <w:t>Präsenz</w:t>
            </w:r>
          </w:p>
          <w:p w14:paraId="5980C2B0" w14:textId="313B77E2" w:rsidR="00B66377" w:rsidRDefault="00B66377" w:rsidP="00D03C12">
            <w:pPr>
              <w:pStyle w:val="NurText"/>
              <w:jc w:val="center"/>
            </w:pPr>
          </w:p>
        </w:tc>
        <w:tc>
          <w:tcPr>
            <w:tcW w:w="2835" w:type="dxa"/>
          </w:tcPr>
          <w:p w14:paraId="3BB9CF33" w14:textId="5ADB6C06" w:rsidR="000F7B34" w:rsidRPr="00F462B9" w:rsidRDefault="00F462B9" w:rsidP="00382EBB">
            <w:pPr>
              <w:pStyle w:val="NurText"/>
              <w:rPr>
                <w:b/>
              </w:rPr>
            </w:pPr>
            <w:r w:rsidRPr="00F462B9">
              <w:rPr>
                <w:b/>
              </w:rPr>
              <w:t>Gleb Kazakov</w:t>
            </w:r>
            <w:r w:rsidR="00E23C02">
              <w:rPr>
                <w:b/>
              </w:rPr>
              <w:t xml:space="preserve"> </w:t>
            </w:r>
            <w:r w:rsidR="00E23C02" w:rsidRPr="00E23C02">
              <w:rPr>
                <w:bCs/>
              </w:rPr>
              <w:t>(Gießen)</w:t>
            </w:r>
          </w:p>
        </w:tc>
        <w:tc>
          <w:tcPr>
            <w:tcW w:w="5239" w:type="dxa"/>
          </w:tcPr>
          <w:p w14:paraId="4F9AF165" w14:textId="77777777" w:rsidR="000F7B34" w:rsidRDefault="00DE67C5" w:rsidP="00382EBB">
            <w:pPr>
              <w:pStyle w:val="NurText"/>
            </w:pPr>
            <w:r>
              <w:t xml:space="preserve">Müllproduktion, Müllentsorgung und Müllproblem in der späten Sowjetunion: Gedanken zu einem Forschungsprojekt </w:t>
            </w:r>
          </w:p>
          <w:p w14:paraId="624EBBA1" w14:textId="56ECA5A1" w:rsidR="002048A6" w:rsidRDefault="002048A6" w:rsidP="00382EBB">
            <w:pPr>
              <w:pStyle w:val="NurText"/>
            </w:pPr>
          </w:p>
        </w:tc>
      </w:tr>
      <w:tr w:rsidR="000F7B34" w14:paraId="63C3524D" w14:textId="77777777" w:rsidTr="000E360D">
        <w:tc>
          <w:tcPr>
            <w:tcW w:w="988" w:type="dxa"/>
          </w:tcPr>
          <w:p w14:paraId="7367D2FB" w14:textId="77777777" w:rsidR="000F7B34" w:rsidRDefault="000F7B34" w:rsidP="00D03C12">
            <w:pPr>
              <w:pStyle w:val="NurText"/>
              <w:jc w:val="center"/>
            </w:pPr>
            <w:r>
              <w:t>12.01</w:t>
            </w:r>
          </w:p>
          <w:p w14:paraId="4831A872" w14:textId="36B8766B" w:rsidR="00B9720B" w:rsidRDefault="00B9720B" w:rsidP="00B9720B">
            <w:pPr>
              <w:pStyle w:val="NurText"/>
              <w:jc w:val="center"/>
            </w:pPr>
            <w:r w:rsidRPr="00B9720B">
              <w:rPr>
                <w:color w:val="0070C0"/>
              </w:rPr>
              <w:t>Zoom</w:t>
            </w:r>
          </w:p>
        </w:tc>
        <w:tc>
          <w:tcPr>
            <w:tcW w:w="2835" w:type="dxa"/>
          </w:tcPr>
          <w:p w14:paraId="044C7EAA" w14:textId="77777777" w:rsidR="000F7B34" w:rsidRDefault="00F462B9" w:rsidP="00382EBB">
            <w:pPr>
              <w:pStyle w:val="NurText"/>
              <w:rPr>
                <w:bCs/>
              </w:rPr>
            </w:pPr>
            <w:r w:rsidRPr="00F462B9">
              <w:rPr>
                <w:b/>
                <w:bCs/>
              </w:rPr>
              <w:t xml:space="preserve">Felicitas Fischer von </w:t>
            </w:r>
            <w:proofErr w:type="spellStart"/>
            <w:r w:rsidRPr="00F462B9">
              <w:rPr>
                <w:b/>
                <w:bCs/>
              </w:rPr>
              <w:t>Weikersthal</w:t>
            </w:r>
            <w:proofErr w:type="spellEnd"/>
            <w:r w:rsidRPr="00382EBB">
              <w:rPr>
                <w:bCs/>
              </w:rPr>
              <w:t xml:space="preserve"> (Heidelberg)</w:t>
            </w:r>
          </w:p>
          <w:p w14:paraId="3417F9BA" w14:textId="69F8AE88" w:rsidR="00F462B9" w:rsidRDefault="00F462B9" w:rsidP="00382EBB">
            <w:pPr>
              <w:pStyle w:val="NurText"/>
            </w:pPr>
          </w:p>
        </w:tc>
        <w:tc>
          <w:tcPr>
            <w:tcW w:w="5239" w:type="dxa"/>
          </w:tcPr>
          <w:p w14:paraId="33C63BB0" w14:textId="77777777" w:rsidR="000F7B34" w:rsidRDefault="002048A6" w:rsidP="00382EBB">
            <w:pPr>
              <w:pStyle w:val="NurText"/>
            </w:pPr>
            <w:r w:rsidRPr="002048A6">
              <w:t xml:space="preserve">Girl </w:t>
            </w:r>
            <w:proofErr w:type="spellStart"/>
            <w:r w:rsidRPr="002048A6">
              <w:t>terrorists</w:t>
            </w:r>
            <w:proofErr w:type="spellEnd"/>
            <w:r w:rsidRPr="002048A6">
              <w:t>. Gender und die transnationale Rezeption des russischen Terrorismus im 19. und frühen 20. Jahrhundert</w:t>
            </w:r>
          </w:p>
          <w:p w14:paraId="16D42605" w14:textId="41960839" w:rsidR="002048A6" w:rsidRDefault="002048A6" w:rsidP="00382EBB">
            <w:pPr>
              <w:pStyle w:val="NurText"/>
            </w:pPr>
          </w:p>
        </w:tc>
      </w:tr>
      <w:tr w:rsidR="000F7B34" w14:paraId="5C6F0620" w14:textId="77777777" w:rsidTr="000E360D">
        <w:tc>
          <w:tcPr>
            <w:tcW w:w="988" w:type="dxa"/>
          </w:tcPr>
          <w:p w14:paraId="42FA9118" w14:textId="77777777" w:rsidR="000F7B34" w:rsidRDefault="000F7B34" w:rsidP="00D03C12">
            <w:pPr>
              <w:pStyle w:val="NurText"/>
              <w:jc w:val="center"/>
              <w:rPr>
                <w:color w:val="FF0000"/>
              </w:rPr>
            </w:pPr>
            <w:r>
              <w:t>19.01</w:t>
            </w:r>
            <w:r w:rsidR="000920C0" w:rsidRPr="00B57FF7">
              <w:rPr>
                <w:color w:val="FF0000"/>
              </w:rPr>
              <w:t xml:space="preserve"> Präsenz</w:t>
            </w:r>
          </w:p>
          <w:p w14:paraId="3F64B210" w14:textId="2D08BAFF" w:rsidR="00B66377" w:rsidRDefault="00B66377" w:rsidP="00D03C12">
            <w:pPr>
              <w:pStyle w:val="NurText"/>
              <w:jc w:val="center"/>
            </w:pPr>
          </w:p>
        </w:tc>
        <w:tc>
          <w:tcPr>
            <w:tcW w:w="2835" w:type="dxa"/>
          </w:tcPr>
          <w:p w14:paraId="73D37F3A" w14:textId="649669D4" w:rsidR="000F7B34" w:rsidRDefault="000920C0" w:rsidP="00382EBB">
            <w:pPr>
              <w:pStyle w:val="NurText"/>
              <w:rPr>
                <w:bCs/>
              </w:rPr>
            </w:pPr>
            <w:r w:rsidRPr="000920C0">
              <w:rPr>
                <w:b/>
              </w:rPr>
              <w:t>Lukas Pohl</w:t>
            </w:r>
            <w:r w:rsidR="002048A6">
              <w:rPr>
                <w:b/>
              </w:rPr>
              <w:t xml:space="preserve"> </w:t>
            </w:r>
            <w:r w:rsidR="002048A6" w:rsidRPr="002048A6">
              <w:rPr>
                <w:bCs/>
              </w:rPr>
              <w:t>&amp;</w:t>
            </w:r>
            <w:r w:rsidR="002048A6">
              <w:rPr>
                <w:b/>
              </w:rPr>
              <w:t xml:space="preserve"> Mateusz </w:t>
            </w:r>
            <w:proofErr w:type="spellStart"/>
            <w:r w:rsidR="002048A6">
              <w:rPr>
                <w:b/>
              </w:rPr>
              <w:t>Kosny</w:t>
            </w:r>
            <w:proofErr w:type="spellEnd"/>
          </w:p>
          <w:p w14:paraId="150FF8A4" w14:textId="5637AC0E" w:rsidR="000920C0" w:rsidRPr="000E360D" w:rsidRDefault="000E360D" w:rsidP="00382EBB">
            <w:pPr>
              <w:pStyle w:val="NurText"/>
              <w:rPr>
                <w:i/>
              </w:rPr>
            </w:pPr>
            <w:r w:rsidRPr="000E360D">
              <w:rPr>
                <w:i/>
              </w:rPr>
              <w:t>Präsentation der studentischen Abschlussarbeiten</w:t>
            </w:r>
          </w:p>
        </w:tc>
        <w:tc>
          <w:tcPr>
            <w:tcW w:w="5239" w:type="dxa"/>
          </w:tcPr>
          <w:p w14:paraId="274165BC" w14:textId="77777777" w:rsidR="000E360D" w:rsidRDefault="000E360D" w:rsidP="00B9720B">
            <w:pPr>
              <w:pStyle w:val="NurText"/>
            </w:pPr>
            <w:r>
              <w:t xml:space="preserve">Die Attentate auf Walther Rathenau und Gabriel </w:t>
            </w:r>
            <w:proofErr w:type="spellStart"/>
            <w:r>
              <w:t>Narutowicz</w:t>
            </w:r>
            <w:proofErr w:type="spellEnd"/>
            <w:r>
              <w:t xml:space="preserve"> im Jahre 1922: Eine Verflechtungsgeschichte der Gewalt; </w:t>
            </w:r>
          </w:p>
          <w:p w14:paraId="14E03CCE" w14:textId="79896700" w:rsidR="00F462B9" w:rsidRDefault="000E360D" w:rsidP="00B9720B">
            <w:pPr>
              <w:pStyle w:val="NurText"/>
            </w:pPr>
            <w:r>
              <w:lastRenderedPageBreak/>
              <w:t>Die Toten Hosen, polnische Künstler und Mark Forster als Stimme Polens? Eine Analyse der Entwicklung populärer Musik zwischen Deutschland und Polen aus subalterner Perspektive</w:t>
            </w:r>
          </w:p>
          <w:p w14:paraId="20C2637A" w14:textId="717AF39A" w:rsidR="000E360D" w:rsidRDefault="000E360D" w:rsidP="00B9720B">
            <w:pPr>
              <w:pStyle w:val="NurText"/>
            </w:pPr>
          </w:p>
        </w:tc>
      </w:tr>
      <w:tr w:rsidR="000F7B34" w14:paraId="696CEEB1" w14:textId="77777777" w:rsidTr="000E360D">
        <w:tc>
          <w:tcPr>
            <w:tcW w:w="988" w:type="dxa"/>
          </w:tcPr>
          <w:p w14:paraId="3C462085" w14:textId="77777777" w:rsidR="000F7B34" w:rsidRDefault="000F7B34" w:rsidP="00D03C12">
            <w:pPr>
              <w:pStyle w:val="NurText"/>
              <w:jc w:val="center"/>
            </w:pPr>
            <w:r>
              <w:lastRenderedPageBreak/>
              <w:t>26.01</w:t>
            </w:r>
          </w:p>
          <w:p w14:paraId="7217007C" w14:textId="12E6E2C7" w:rsidR="00B57FF7" w:rsidRDefault="00B57FF7" w:rsidP="00D03C12">
            <w:pPr>
              <w:pStyle w:val="NurText"/>
              <w:jc w:val="center"/>
            </w:pPr>
            <w:r w:rsidRPr="00B57FF7">
              <w:rPr>
                <w:color w:val="FF0000"/>
              </w:rPr>
              <w:t>Präsenz</w:t>
            </w:r>
          </w:p>
        </w:tc>
        <w:tc>
          <w:tcPr>
            <w:tcW w:w="2835" w:type="dxa"/>
          </w:tcPr>
          <w:p w14:paraId="777A9373" w14:textId="2019048B" w:rsidR="000F7B34" w:rsidRPr="00906C75" w:rsidRDefault="00906C75" w:rsidP="00382EBB">
            <w:pPr>
              <w:pStyle w:val="NurText"/>
              <w:rPr>
                <w:b/>
              </w:rPr>
            </w:pPr>
            <w:r w:rsidRPr="00906C75">
              <w:rPr>
                <w:b/>
                <w:bCs/>
              </w:rPr>
              <w:t>Tobias Haberkorn</w:t>
            </w:r>
            <w:r w:rsidR="00E23C02">
              <w:rPr>
                <w:b/>
                <w:bCs/>
              </w:rPr>
              <w:t xml:space="preserve"> </w:t>
            </w:r>
            <w:r w:rsidR="00E23C02" w:rsidRPr="00E23C02">
              <w:t>(Gießen)</w:t>
            </w:r>
          </w:p>
        </w:tc>
        <w:tc>
          <w:tcPr>
            <w:tcW w:w="5239" w:type="dxa"/>
          </w:tcPr>
          <w:p w14:paraId="04BF909D" w14:textId="77777777" w:rsidR="0011393D" w:rsidRDefault="002048A6" w:rsidP="00906C75">
            <w:pPr>
              <w:pStyle w:val="NurText"/>
            </w:pPr>
            <w:r>
              <w:t xml:space="preserve">Expansion statt Revolution, sowjetische Landeskundemuseen der 1920er Jahre </w:t>
            </w:r>
          </w:p>
          <w:p w14:paraId="34778D1A" w14:textId="60C871B8" w:rsidR="002048A6" w:rsidRDefault="002048A6" w:rsidP="00906C75">
            <w:pPr>
              <w:pStyle w:val="NurText"/>
            </w:pPr>
          </w:p>
        </w:tc>
      </w:tr>
      <w:tr w:rsidR="000F7B34" w14:paraId="4450EF3B" w14:textId="77777777" w:rsidTr="000E360D">
        <w:tc>
          <w:tcPr>
            <w:tcW w:w="988" w:type="dxa"/>
          </w:tcPr>
          <w:p w14:paraId="6D1C63AF" w14:textId="77777777" w:rsidR="000F7B34" w:rsidRDefault="000F7B34" w:rsidP="00D03C12">
            <w:pPr>
              <w:pStyle w:val="NurText"/>
              <w:jc w:val="center"/>
            </w:pPr>
            <w:r>
              <w:t>02.02</w:t>
            </w:r>
          </w:p>
          <w:p w14:paraId="63B05717" w14:textId="75292BD4" w:rsidR="00B9720B" w:rsidRDefault="00B9720B" w:rsidP="00D03C12">
            <w:pPr>
              <w:pStyle w:val="NurText"/>
              <w:jc w:val="center"/>
            </w:pPr>
            <w:r w:rsidRPr="00B9720B">
              <w:rPr>
                <w:color w:val="0070C0"/>
              </w:rPr>
              <w:t>Zoom</w:t>
            </w:r>
          </w:p>
        </w:tc>
        <w:tc>
          <w:tcPr>
            <w:tcW w:w="2835" w:type="dxa"/>
          </w:tcPr>
          <w:p w14:paraId="7F0A0144" w14:textId="1B0E31A4" w:rsidR="000F7B34" w:rsidRDefault="00B9720B" w:rsidP="00382EBB">
            <w:pPr>
              <w:pStyle w:val="NurText"/>
            </w:pPr>
            <w:r w:rsidRPr="00F462B9">
              <w:rPr>
                <w:b/>
                <w:bCs/>
              </w:rPr>
              <w:t xml:space="preserve">Martina </w:t>
            </w:r>
            <w:proofErr w:type="spellStart"/>
            <w:r w:rsidRPr="00F462B9">
              <w:rPr>
                <w:b/>
                <w:bCs/>
              </w:rPr>
              <w:t>Niedhammer</w:t>
            </w:r>
            <w:proofErr w:type="spellEnd"/>
            <w:r w:rsidRPr="00382EBB">
              <w:rPr>
                <w:bCs/>
              </w:rPr>
              <w:t xml:space="preserve"> (München)</w:t>
            </w:r>
          </w:p>
        </w:tc>
        <w:tc>
          <w:tcPr>
            <w:tcW w:w="5239" w:type="dxa"/>
          </w:tcPr>
          <w:p w14:paraId="33F6DF25" w14:textId="77777777" w:rsidR="000F7B34" w:rsidRDefault="002048A6" w:rsidP="00382EBB">
            <w:pPr>
              <w:pStyle w:val="NurText"/>
            </w:pPr>
            <w:proofErr w:type="spellStart"/>
            <w:r>
              <w:t>Belarusisch</w:t>
            </w:r>
            <w:proofErr w:type="spellEnd"/>
            <w:r>
              <w:t xml:space="preserve"> und Jiddisch im frühen 20. Jahrhundert. Eine Geschichte kleiner Sprachen </w:t>
            </w:r>
          </w:p>
          <w:p w14:paraId="3DDF8DD5" w14:textId="54E6C3EB" w:rsidR="002048A6" w:rsidRDefault="002048A6" w:rsidP="00382EBB">
            <w:pPr>
              <w:pStyle w:val="NurText"/>
            </w:pPr>
          </w:p>
        </w:tc>
      </w:tr>
      <w:tr w:rsidR="000F7B34" w14:paraId="288CCA66" w14:textId="77777777" w:rsidTr="000E360D">
        <w:tc>
          <w:tcPr>
            <w:tcW w:w="988" w:type="dxa"/>
          </w:tcPr>
          <w:p w14:paraId="573F0E49" w14:textId="77777777" w:rsidR="000F7B34" w:rsidRDefault="000F7B34" w:rsidP="00D03C12">
            <w:pPr>
              <w:pStyle w:val="NurText"/>
              <w:jc w:val="center"/>
            </w:pPr>
            <w:r>
              <w:t>09.02</w:t>
            </w:r>
          </w:p>
          <w:p w14:paraId="429FA0D0" w14:textId="77777777" w:rsidR="00B57FF7" w:rsidRDefault="00B57FF7" w:rsidP="00D03C12">
            <w:pPr>
              <w:pStyle w:val="NurText"/>
              <w:jc w:val="center"/>
              <w:rPr>
                <w:color w:val="FF0000"/>
              </w:rPr>
            </w:pPr>
            <w:r w:rsidRPr="00B57FF7">
              <w:rPr>
                <w:color w:val="FF0000"/>
              </w:rPr>
              <w:t>Präsenz</w:t>
            </w:r>
          </w:p>
          <w:p w14:paraId="77F16337" w14:textId="573C629A" w:rsidR="00B66377" w:rsidRDefault="00B66377" w:rsidP="00D03C12">
            <w:pPr>
              <w:pStyle w:val="NurText"/>
              <w:jc w:val="center"/>
            </w:pPr>
          </w:p>
        </w:tc>
        <w:tc>
          <w:tcPr>
            <w:tcW w:w="2835" w:type="dxa"/>
          </w:tcPr>
          <w:p w14:paraId="09E1784A" w14:textId="759CC2FE" w:rsidR="000F7B34" w:rsidRDefault="00550324" w:rsidP="00382EBB">
            <w:pPr>
              <w:pStyle w:val="NurText"/>
              <w:rPr>
                <w:b/>
              </w:rPr>
            </w:pPr>
            <w:r w:rsidRPr="00F462B9">
              <w:rPr>
                <w:b/>
              </w:rPr>
              <w:t>Hilke Wagner</w:t>
            </w:r>
            <w:r w:rsidR="00E86AB9">
              <w:rPr>
                <w:b/>
              </w:rPr>
              <w:t xml:space="preserve"> </w:t>
            </w:r>
            <w:r w:rsidR="00E86AB9" w:rsidRPr="002048A6">
              <w:t>&amp;</w:t>
            </w:r>
            <w:r w:rsidR="00E86AB9">
              <w:t xml:space="preserve"> </w:t>
            </w:r>
            <w:r w:rsidR="00E86AB9" w:rsidRPr="00E86AB9">
              <w:rPr>
                <w:b/>
                <w:bCs/>
              </w:rPr>
              <w:t xml:space="preserve">Lars </w:t>
            </w:r>
            <w:proofErr w:type="spellStart"/>
            <w:r w:rsidR="00E86AB9" w:rsidRPr="00E86AB9">
              <w:rPr>
                <w:b/>
                <w:bCs/>
              </w:rPr>
              <w:t>Schlaphof</w:t>
            </w:r>
            <w:proofErr w:type="spellEnd"/>
          </w:p>
          <w:p w14:paraId="02782F31" w14:textId="29D06A4D" w:rsidR="000E360D" w:rsidRDefault="000E360D" w:rsidP="00382EBB">
            <w:pPr>
              <w:pStyle w:val="NurText"/>
            </w:pPr>
            <w:r w:rsidRPr="000E360D">
              <w:rPr>
                <w:i/>
              </w:rPr>
              <w:t>Präsentation der studentischen Abschlussarbeiten</w:t>
            </w:r>
          </w:p>
        </w:tc>
        <w:tc>
          <w:tcPr>
            <w:tcW w:w="5239" w:type="dxa"/>
          </w:tcPr>
          <w:p w14:paraId="62B80361" w14:textId="7BBAA8FD" w:rsidR="000E360D" w:rsidRDefault="000E360D" w:rsidP="000E360D">
            <w:pPr>
              <w:pStyle w:val="NurText"/>
            </w:pPr>
            <w:r>
              <w:t>Das Thema wird bekannt gegeben</w:t>
            </w:r>
            <w:r w:rsidR="00E86AB9">
              <w:t xml:space="preserve">; </w:t>
            </w:r>
            <w:r w:rsidR="00E86AB9">
              <w:br/>
              <w:t>Quantifizierung von Zwangsarbeit: Konzept, Methode und Realisierung am Beispiel der ”Fremdarbeiterkartei“ der Adam Opel AG</w:t>
            </w:r>
          </w:p>
          <w:p w14:paraId="57B7282A" w14:textId="0487A455" w:rsidR="000F7B34" w:rsidRDefault="000F7B34" w:rsidP="00382EBB">
            <w:pPr>
              <w:pStyle w:val="NurText"/>
            </w:pPr>
          </w:p>
        </w:tc>
      </w:tr>
      <w:tr w:rsidR="000F7B34" w14:paraId="3BD3309B" w14:textId="77777777" w:rsidTr="000E360D">
        <w:tc>
          <w:tcPr>
            <w:tcW w:w="988" w:type="dxa"/>
          </w:tcPr>
          <w:p w14:paraId="374D56BE" w14:textId="77777777" w:rsidR="000F7B34" w:rsidRDefault="000F7B34" w:rsidP="00D03C12">
            <w:pPr>
              <w:pStyle w:val="NurText"/>
              <w:jc w:val="center"/>
            </w:pPr>
            <w:r>
              <w:t>16.02</w:t>
            </w:r>
          </w:p>
          <w:p w14:paraId="1D99342E" w14:textId="5A8EA31F" w:rsidR="000E360D" w:rsidRPr="000E360D" w:rsidRDefault="000E360D" w:rsidP="000E360D">
            <w:pPr>
              <w:pStyle w:val="NurText"/>
              <w:jc w:val="center"/>
              <w:rPr>
                <w:color w:val="FF0000"/>
              </w:rPr>
            </w:pPr>
            <w:r w:rsidRPr="00B57FF7">
              <w:rPr>
                <w:color w:val="FF0000"/>
              </w:rPr>
              <w:t>Präsenz</w:t>
            </w:r>
          </w:p>
        </w:tc>
        <w:tc>
          <w:tcPr>
            <w:tcW w:w="2835" w:type="dxa"/>
          </w:tcPr>
          <w:p w14:paraId="1802347A" w14:textId="77777777" w:rsidR="0011393D" w:rsidRDefault="0011393D" w:rsidP="0011393D">
            <w:pPr>
              <w:pStyle w:val="NurText"/>
            </w:pPr>
            <w:r>
              <w:t>Abschlussdiskussion</w:t>
            </w:r>
          </w:p>
          <w:p w14:paraId="1973796B" w14:textId="725FD2D9" w:rsidR="000F7B34" w:rsidRDefault="000F7B34" w:rsidP="00382EBB">
            <w:pPr>
              <w:pStyle w:val="NurText"/>
            </w:pPr>
          </w:p>
        </w:tc>
        <w:tc>
          <w:tcPr>
            <w:tcW w:w="5239" w:type="dxa"/>
          </w:tcPr>
          <w:p w14:paraId="7E05B3E4" w14:textId="4428B3C3" w:rsidR="00B66377" w:rsidRDefault="00B66377" w:rsidP="0011393D">
            <w:pPr>
              <w:pStyle w:val="NurText"/>
            </w:pPr>
          </w:p>
        </w:tc>
      </w:tr>
    </w:tbl>
    <w:p w14:paraId="428BBF87" w14:textId="77777777" w:rsidR="00E473B4" w:rsidRDefault="00E473B4"/>
    <w:sectPr w:rsidR="00E47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47956"/>
    <w:multiLevelType w:val="hybridMultilevel"/>
    <w:tmpl w:val="47DE9C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932"/>
    <w:multiLevelType w:val="hybridMultilevel"/>
    <w:tmpl w:val="C4903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63F7"/>
    <w:multiLevelType w:val="hybridMultilevel"/>
    <w:tmpl w:val="8E0AC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35C6"/>
    <w:multiLevelType w:val="hybridMultilevel"/>
    <w:tmpl w:val="30E4E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2"/>
    <w:rsid w:val="000920C0"/>
    <w:rsid w:val="000E360D"/>
    <w:rsid w:val="000F4506"/>
    <w:rsid w:val="000F7B34"/>
    <w:rsid w:val="0011393D"/>
    <w:rsid w:val="00172285"/>
    <w:rsid w:val="002048A6"/>
    <w:rsid w:val="00207407"/>
    <w:rsid w:val="00292296"/>
    <w:rsid w:val="002C1166"/>
    <w:rsid w:val="00382EBB"/>
    <w:rsid w:val="003D08CC"/>
    <w:rsid w:val="00444F28"/>
    <w:rsid w:val="005362C4"/>
    <w:rsid w:val="00550324"/>
    <w:rsid w:val="006C279E"/>
    <w:rsid w:val="00787139"/>
    <w:rsid w:val="007A539B"/>
    <w:rsid w:val="008C0321"/>
    <w:rsid w:val="00906C75"/>
    <w:rsid w:val="009C5BB2"/>
    <w:rsid w:val="009C6E5F"/>
    <w:rsid w:val="00B05465"/>
    <w:rsid w:val="00B57FF7"/>
    <w:rsid w:val="00B66377"/>
    <w:rsid w:val="00B9720B"/>
    <w:rsid w:val="00D03C12"/>
    <w:rsid w:val="00DB47C7"/>
    <w:rsid w:val="00DE67C5"/>
    <w:rsid w:val="00E23C02"/>
    <w:rsid w:val="00E473B4"/>
    <w:rsid w:val="00E61958"/>
    <w:rsid w:val="00E86AB9"/>
    <w:rsid w:val="00F4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894B"/>
  <w15:chartTrackingRefBased/>
  <w15:docId w15:val="{D6523F9C-2D80-421D-A489-412FC8C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03C1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03C12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D0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2EB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07407"/>
    <w:rPr>
      <w:i/>
      <w:iCs/>
    </w:rPr>
  </w:style>
  <w:style w:type="character" w:styleId="Fett">
    <w:name w:val="Strong"/>
    <w:basedOn w:val="Absatz-Standardschriftart"/>
    <w:uiPriority w:val="22"/>
    <w:qFormat/>
    <w:rsid w:val="0020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Timo Mohr</cp:lastModifiedBy>
  <cp:revision>5</cp:revision>
  <dcterms:created xsi:type="dcterms:W3CDTF">2020-10-01T11:44:00Z</dcterms:created>
  <dcterms:modified xsi:type="dcterms:W3CDTF">2020-11-02T11:36:00Z</dcterms:modified>
</cp:coreProperties>
</file>